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591"/>
        <w:tblW w:w="9606" w:type="dxa"/>
        <w:tblLook w:val="04A0" w:firstRow="1" w:lastRow="0" w:firstColumn="1" w:lastColumn="0" w:noHBand="0" w:noVBand="1"/>
      </w:tblPr>
      <w:tblGrid>
        <w:gridCol w:w="5032"/>
        <w:gridCol w:w="4574"/>
      </w:tblGrid>
      <w:tr w:rsidR="003E3D3E" w:rsidTr="00C46C5E">
        <w:tc>
          <w:tcPr>
            <w:tcW w:w="5032" w:type="dxa"/>
          </w:tcPr>
          <w:p w:rsidR="003E3D3E" w:rsidRPr="00972FF1" w:rsidRDefault="003E3D3E" w:rsidP="005B3BE0">
            <w:pPr>
              <w:jc w:val="center"/>
              <w:rPr>
                <w:rFonts w:ascii="Calibri" w:hAnsi="Calibri"/>
                <w:b/>
                <w:color w:val="000000"/>
                <w:sz w:val="32"/>
                <w:szCs w:val="32"/>
              </w:rPr>
            </w:pPr>
            <w:bookmarkStart w:id="0" w:name="_GoBack"/>
            <w:bookmarkEnd w:id="0"/>
            <w:r w:rsidRPr="00972FF1">
              <w:rPr>
                <w:rFonts w:ascii="Calibri" w:hAnsi="Calibri"/>
                <w:b/>
                <w:color w:val="000000"/>
                <w:sz w:val="32"/>
                <w:szCs w:val="32"/>
              </w:rPr>
              <w:t>Наименование мероприятия</w:t>
            </w:r>
          </w:p>
        </w:tc>
        <w:tc>
          <w:tcPr>
            <w:tcW w:w="4574" w:type="dxa"/>
          </w:tcPr>
          <w:p w:rsidR="003E3D3E" w:rsidRPr="00972FF1" w:rsidRDefault="003E3D3E" w:rsidP="00A24716">
            <w:pPr>
              <w:jc w:val="center"/>
              <w:rPr>
                <w:b/>
                <w:sz w:val="32"/>
                <w:szCs w:val="32"/>
              </w:rPr>
            </w:pPr>
            <w:r w:rsidRPr="00972FF1">
              <w:rPr>
                <w:b/>
                <w:sz w:val="32"/>
                <w:szCs w:val="32"/>
              </w:rPr>
              <w:t xml:space="preserve"> </w:t>
            </w:r>
            <w:proofErr w:type="gramStart"/>
            <w:r w:rsidR="00C46C5E" w:rsidRPr="00972FF1">
              <w:rPr>
                <w:b/>
                <w:sz w:val="32"/>
                <w:szCs w:val="32"/>
              </w:rPr>
              <w:t>согласно отчета</w:t>
            </w:r>
            <w:proofErr w:type="gramEnd"/>
            <w:r w:rsidR="00C46C5E" w:rsidRPr="00972FF1">
              <w:rPr>
                <w:b/>
                <w:sz w:val="32"/>
                <w:szCs w:val="32"/>
              </w:rPr>
              <w:t xml:space="preserve"> в ФНС России </w:t>
            </w:r>
            <w:r w:rsidR="006713F9" w:rsidRPr="00972FF1">
              <w:rPr>
                <w:b/>
                <w:sz w:val="32"/>
                <w:szCs w:val="32"/>
              </w:rPr>
              <w:t xml:space="preserve">за </w:t>
            </w:r>
            <w:r w:rsidR="00A24716">
              <w:rPr>
                <w:b/>
                <w:sz w:val="32"/>
                <w:szCs w:val="32"/>
              </w:rPr>
              <w:t xml:space="preserve">1 кв. </w:t>
            </w:r>
            <w:r w:rsidRPr="00972FF1">
              <w:rPr>
                <w:b/>
                <w:sz w:val="32"/>
                <w:szCs w:val="32"/>
              </w:rPr>
              <w:t>20</w:t>
            </w:r>
            <w:r w:rsidR="00550A02" w:rsidRPr="00972FF1">
              <w:rPr>
                <w:b/>
                <w:sz w:val="32"/>
                <w:szCs w:val="32"/>
              </w:rPr>
              <w:t>2</w:t>
            </w:r>
            <w:r w:rsidR="00A24716">
              <w:rPr>
                <w:b/>
                <w:sz w:val="32"/>
                <w:szCs w:val="32"/>
              </w:rPr>
              <w:t>4</w:t>
            </w:r>
            <w:r w:rsidR="00BF3224" w:rsidRPr="00972FF1">
              <w:rPr>
                <w:b/>
                <w:sz w:val="32"/>
                <w:szCs w:val="32"/>
              </w:rPr>
              <w:t xml:space="preserve"> год</w:t>
            </w:r>
            <w:r w:rsidR="00CF57B6" w:rsidRPr="00972FF1">
              <w:rPr>
                <w:b/>
                <w:sz w:val="32"/>
                <w:szCs w:val="32"/>
              </w:rPr>
              <w:t xml:space="preserve"> </w:t>
            </w:r>
          </w:p>
        </w:tc>
      </w:tr>
      <w:tr w:rsidR="003E3D3E" w:rsidTr="00C46C5E">
        <w:trPr>
          <w:trHeight w:val="1121"/>
        </w:trPr>
        <w:tc>
          <w:tcPr>
            <w:tcW w:w="5032" w:type="dxa"/>
          </w:tcPr>
          <w:p w:rsidR="003E3D3E" w:rsidRPr="00972FF1" w:rsidRDefault="003E3D3E" w:rsidP="00746AC1">
            <w:pPr>
              <w:jc w:val="both"/>
              <w:rPr>
                <w:sz w:val="32"/>
                <w:szCs w:val="32"/>
              </w:rPr>
            </w:pPr>
            <w:r w:rsidRPr="00972FF1">
              <w:rPr>
                <w:rFonts w:ascii="Calibri" w:hAnsi="Calibri"/>
                <w:color w:val="000000"/>
                <w:sz w:val="32"/>
                <w:szCs w:val="32"/>
              </w:rPr>
              <w:t xml:space="preserve">Количество служащих, которыми </w:t>
            </w:r>
            <w:r w:rsidR="00746AC1" w:rsidRPr="00972FF1">
              <w:rPr>
                <w:rFonts w:ascii="Calibri" w:hAnsi="Calibri"/>
                <w:color w:val="000000"/>
                <w:sz w:val="32"/>
                <w:szCs w:val="32"/>
              </w:rPr>
              <w:t xml:space="preserve"> представлены </w:t>
            </w:r>
            <w:r w:rsidRPr="00972FF1">
              <w:rPr>
                <w:rFonts w:ascii="Calibri" w:hAnsi="Calibri"/>
                <w:color w:val="000000"/>
                <w:sz w:val="32"/>
                <w:szCs w:val="32"/>
              </w:rPr>
              <w:t xml:space="preserve">сведения о доходах, расходах, об имуществе и обязательствах имущественного характера </w:t>
            </w:r>
          </w:p>
        </w:tc>
        <w:tc>
          <w:tcPr>
            <w:tcW w:w="4574" w:type="dxa"/>
          </w:tcPr>
          <w:p w:rsidR="003E3D3E" w:rsidRPr="00EB22BA" w:rsidRDefault="003E3D3E" w:rsidP="005B3BE0">
            <w:pPr>
              <w:jc w:val="center"/>
              <w:rPr>
                <w:b/>
                <w:sz w:val="32"/>
                <w:szCs w:val="32"/>
              </w:rPr>
            </w:pPr>
          </w:p>
          <w:p w:rsidR="003E3D3E" w:rsidRPr="00EB22BA" w:rsidRDefault="003E3D3E" w:rsidP="005B3BE0">
            <w:pPr>
              <w:jc w:val="center"/>
              <w:rPr>
                <w:b/>
                <w:sz w:val="32"/>
                <w:szCs w:val="32"/>
              </w:rPr>
            </w:pPr>
          </w:p>
          <w:p w:rsidR="003E3D3E" w:rsidRPr="00EB22BA" w:rsidRDefault="006479BF" w:rsidP="00746AC1">
            <w:pPr>
              <w:jc w:val="center"/>
              <w:rPr>
                <w:b/>
                <w:sz w:val="32"/>
                <w:szCs w:val="32"/>
              </w:rPr>
            </w:pPr>
            <w:r>
              <w:rPr>
                <w:b/>
                <w:sz w:val="32"/>
                <w:szCs w:val="32"/>
                <w:lang w:val="en-US"/>
              </w:rPr>
              <w:t>9</w:t>
            </w:r>
            <w:r w:rsidR="00A24716">
              <w:rPr>
                <w:b/>
                <w:sz w:val="32"/>
                <w:szCs w:val="32"/>
              </w:rPr>
              <w:t>13</w:t>
            </w:r>
            <w:r w:rsidR="00972FF1" w:rsidRPr="00EB22BA">
              <w:rPr>
                <w:b/>
                <w:sz w:val="32"/>
                <w:szCs w:val="32"/>
              </w:rPr>
              <w:t xml:space="preserve"> из 9</w:t>
            </w:r>
            <w:r w:rsidR="00746AC1">
              <w:rPr>
                <w:b/>
                <w:sz w:val="32"/>
                <w:szCs w:val="32"/>
              </w:rPr>
              <w:t>13</w:t>
            </w:r>
            <w:r w:rsidR="00972FF1" w:rsidRPr="00EB22BA">
              <w:rPr>
                <w:b/>
                <w:sz w:val="32"/>
                <w:szCs w:val="32"/>
              </w:rPr>
              <w:t xml:space="preserve"> </w:t>
            </w:r>
            <w:r w:rsidR="00746AC1">
              <w:rPr>
                <w:b/>
                <w:sz w:val="32"/>
                <w:szCs w:val="32"/>
              </w:rPr>
              <w:t xml:space="preserve">обязанных </w:t>
            </w:r>
            <w:r w:rsidR="00972FF1" w:rsidRPr="00EB22BA">
              <w:rPr>
                <w:b/>
                <w:sz w:val="32"/>
                <w:szCs w:val="32"/>
              </w:rPr>
              <w:t>представи</w:t>
            </w:r>
            <w:r w:rsidR="00746AC1">
              <w:rPr>
                <w:b/>
                <w:sz w:val="32"/>
                <w:szCs w:val="32"/>
              </w:rPr>
              <w:t>ть</w:t>
            </w:r>
            <w:r w:rsidR="00972FF1" w:rsidRPr="00EB22BA">
              <w:rPr>
                <w:b/>
                <w:sz w:val="32"/>
                <w:szCs w:val="32"/>
              </w:rPr>
              <w:t xml:space="preserve"> (</w:t>
            </w:r>
            <w:r>
              <w:rPr>
                <w:b/>
                <w:sz w:val="32"/>
                <w:szCs w:val="32"/>
                <w:lang w:val="en-US"/>
              </w:rPr>
              <w:t>100</w:t>
            </w:r>
            <w:r w:rsidR="00972FF1" w:rsidRPr="00EB22BA">
              <w:rPr>
                <w:b/>
                <w:sz w:val="32"/>
                <w:szCs w:val="32"/>
              </w:rPr>
              <w:t>%)</w:t>
            </w:r>
          </w:p>
        </w:tc>
      </w:tr>
      <w:tr w:rsidR="003E3D3E" w:rsidTr="00C46C5E">
        <w:trPr>
          <w:trHeight w:val="1278"/>
        </w:trPr>
        <w:tc>
          <w:tcPr>
            <w:tcW w:w="5032" w:type="dxa"/>
          </w:tcPr>
          <w:p w:rsidR="003E3D3E" w:rsidRPr="00972FF1" w:rsidRDefault="003E3D3E" w:rsidP="005B3BE0">
            <w:pPr>
              <w:rPr>
                <w:rFonts w:ascii="Calibri" w:hAnsi="Calibri"/>
                <w:color w:val="000000"/>
                <w:sz w:val="32"/>
                <w:szCs w:val="32"/>
              </w:rPr>
            </w:pPr>
            <w:r w:rsidRPr="00972FF1">
              <w:rPr>
                <w:rFonts w:ascii="Calibri" w:hAnsi="Calibri"/>
                <w:color w:val="000000"/>
                <w:sz w:val="32"/>
                <w:szCs w:val="32"/>
              </w:rPr>
              <w:t>Количество указанных проверок сведений, представляемых  служащими</w:t>
            </w:r>
            <w:r w:rsidR="00C46C5E" w:rsidRPr="00972FF1">
              <w:rPr>
                <w:rFonts w:ascii="Calibri" w:hAnsi="Calibri"/>
                <w:color w:val="000000"/>
                <w:sz w:val="32"/>
                <w:szCs w:val="32"/>
              </w:rPr>
              <w:t>:</w:t>
            </w:r>
          </w:p>
          <w:p w:rsidR="00C46C5E" w:rsidRPr="00972FF1" w:rsidRDefault="00C46C5E" w:rsidP="005B3BE0">
            <w:pPr>
              <w:rPr>
                <w:rFonts w:ascii="Arial" w:hAnsi="Arial" w:cs="Arial"/>
                <w:b/>
                <w:color w:val="000000"/>
                <w:sz w:val="32"/>
                <w:szCs w:val="32"/>
              </w:rPr>
            </w:pPr>
            <w:r w:rsidRPr="00972FF1">
              <w:rPr>
                <w:rFonts w:ascii="Calibri" w:hAnsi="Calibri"/>
                <w:color w:val="000000"/>
                <w:sz w:val="32"/>
                <w:szCs w:val="32"/>
              </w:rPr>
              <w:t xml:space="preserve">- Указ № 1065 </w:t>
            </w:r>
          </w:p>
          <w:p w:rsidR="003E3D3E" w:rsidRPr="00972FF1" w:rsidRDefault="00C46C5E" w:rsidP="005B3BE0">
            <w:pPr>
              <w:rPr>
                <w:rFonts w:ascii="Calibri" w:hAnsi="Calibri"/>
                <w:color w:val="000000"/>
                <w:sz w:val="32"/>
                <w:szCs w:val="32"/>
              </w:rPr>
            </w:pPr>
            <w:r w:rsidRPr="00972FF1">
              <w:rPr>
                <w:rFonts w:ascii="Calibri" w:hAnsi="Calibri"/>
                <w:color w:val="000000"/>
                <w:sz w:val="32"/>
                <w:szCs w:val="32"/>
              </w:rPr>
              <w:t>- ФЗ № 230 (расходы)</w:t>
            </w:r>
          </w:p>
        </w:tc>
        <w:tc>
          <w:tcPr>
            <w:tcW w:w="4574" w:type="dxa"/>
          </w:tcPr>
          <w:p w:rsidR="003414C3" w:rsidRPr="00EB22BA" w:rsidRDefault="003414C3" w:rsidP="00C46C5E">
            <w:pPr>
              <w:jc w:val="center"/>
              <w:rPr>
                <w:rFonts w:ascii="Calibri" w:hAnsi="Calibri"/>
                <w:b/>
                <w:color w:val="000000"/>
                <w:sz w:val="32"/>
                <w:szCs w:val="32"/>
                <w:lang w:val="en-US"/>
              </w:rPr>
            </w:pPr>
          </w:p>
          <w:p w:rsidR="005421E8" w:rsidRPr="00EB22BA" w:rsidRDefault="00A24716" w:rsidP="00C46C5E">
            <w:pPr>
              <w:jc w:val="center"/>
              <w:rPr>
                <w:rFonts w:ascii="Calibri" w:hAnsi="Calibri"/>
                <w:b/>
                <w:color w:val="000000"/>
                <w:sz w:val="32"/>
                <w:szCs w:val="32"/>
              </w:rPr>
            </w:pPr>
            <w:r>
              <w:rPr>
                <w:rFonts w:ascii="Calibri" w:hAnsi="Calibri"/>
                <w:b/>
                <w:color w:val="000000"/>
                <w:sz w:val="32"/>
                <w:szCs w:val="32"/>
              </w:rPr>
              <w:t>0</w:t>
            </w:r>
          </w:p>
          <w:p w:rsidR="00972FF1" w:rsidRPr="00EB22BA" w:rsidRDefault="00972FF1" w:rsidP="00C46C5E">
            <w:pPr>
              <w:jc w:val="center"/>
              <w:rPr>
                <w:rFonts w:ascii="Calibri" w:hAnsi="Calibri"/>
                <w:b/>
                <w:color w:val="000000"/>
                <w:sz w:val="32"/>
                <w:szCs w:val="32"/>
              </w:rPr>
            </w:pPr>
          </w:p>
          <w:p w:rsidR="00972FF1" w:rsidRPr="00EB22BA" w:rsidRDefault="00A24716" w:rsidP="00C46C5E">
            <w:pPr>
              <w:jc w:val="center"/>
              <w:rPr>
                <w:rFonts w:ascii="Calibri" w:hAnsi="Calibri"/>
                <w:b/>
                <w:color w:val="000000"/>
                <w:sz w:val="32"/>
                <w:szCs w:val="32"/>
              </w:rPr>
            </w:pPr>
            <w:r>
              <w:rPr>
                <w:rFonts w:ascii="Calibri" w:hAnsi="Calibri"/>
                <w:b/>
                <w:color w:val="000000"/>
                <w:sz w:val="32"/>
                <w:szCs w:val="32"/>
              </w:rPr>
              <w:t>0</w:t>
            </w:r>
          </w:p>
          <w:p w:rsidR="006524D1" w:rsidRPr="00EB22BA" w:rsidRDefault="00A24716" w:rsidP="00C46C5E">
            <w:pPr>
              <w:jc w:val="center"/>
              <w:rPr>
                <w:rFonts w:ascii="Calibri" w:hAnsi="Calibri"/>
                <w:b/>
                <w:color w:val="000000"/>
                <w:sz w:val="32"/>
                <w:szCs w:val="32"/>
              </w:rPr>
            </w:pPr>
            <w:r>
              <w:rPr>
                <w:rFonts w:ascii="Calibri" w:hAnsi="Calibri"/>
                <w:b/>
                <w:color w:val="000000"/>
                <w:sz w:val="32"/>
                <w:szCs w:val="32"/>
              </w:rPr>
              <w:t>0</w:t>
            </w:r>
          </w:p>
          <w:p w:rsidR="006524D1" w:rsidRPr="00EB22BA" w:rsidRDefault="006524D1" w:rsidP="00C46C5E">
            <w:pPr>
              <w:jc w:val="center"/>
              <w:rPr>
                <w:rFonts w:ascii="Calibri" w:hAnsi="Calibri"/>
                <w:b/>
                <w:color w:val="000000"/>
                <w:sz w:val="32"/>
                <w:szCs w:val="32"/>
              </w:rPr>
            </w:pPr>
          </w:p>
        </w:tc>
      </w:tr>
      <w:tr w:rsidR="003E3D3E" w:rsidTr="00C46C5E">
        <w:trPr>
          <w:trHeight w:val="875"/>
        </w:trPr>
        <w:tc>
          <w:tcPr>
            <w:tcW w:w="5032" w:type="dxa"/>
          </w:tcPr>
          <w:p w:rsidR="003E3D3E" w:rsidRPr="00972FF1" w:rsidRDefault="003E3D3E" w:rsidP="005B3BE0">
            <w:pPr>
              <w:jc w:val="both"/>
              <w:rPr>
                <w:rFonts w:ascii="Calibri" w:hAnsi="Calibri"/>
                <w:color w:val="000000"/>
                <w:sz w:val="32"/>
                <w:szCs w:val="32"/>
              </w:rPr>
            </w:pPr>
            <w:r w:rsidRPr="00972FF1">
              <w:rPr>
                <w:rFonts w:ascii="Calibri" w:hAnsi="Calibri"/>
                <w:color w:val="000000"/>
                <w:sz w:val="32"/>
                <w:szCs w:val="32"/>
              </w:rPr>
              <w:t>Количество  служащих, в отношении которых установлены факты представления недостоверных и (или) неполных сведений</w:t>
            </w:r>
          </w:p>
          <w:p w:rsidR="003E3D3E" w:rsidRPr="00972FF1" w:rsidRDefault="003E3D3E" w:rsidP="005B3BE0">
            <w:pPr>
              <w:jc w:val="both"/>
              <w:rPr>
                <w:rFonts w:ascii="Calibri" w:hAnsi="Calibri"/>
                <w:color w:val="000000"/>
                <w:sz w:val="32"/>
                <w:szCs w:val="32"/>
              </w:rPr>
            </w:pPr>
          </w:p>
        </w:tc>
        <w:tc>
          <w:tcPr>
            <w:tcW w:w="4574" w:type="dxa"/>
          </w:tcPr>
          <w:p w:rsidR="003E3D3E" w:rsidRPr="00EB22BA" w:rsidRDefault="003E3D3E" w:rsidP="005B3BE0">
            <w:pPr>
              <w:jc w:val="center"/>
              <w:rPr>
                <w:b/>
                <w:sz w:val="32"/>
                <w:szCs w:val="32"/>
              </w:rPr>
            </w:pPr>
          </w:p>
          <w:p w:rsidR="003E3D3E" w:rsidRPr="00EB22BA" w:rsidRDefault="00A24716" w:rsidP="00A24716">
            <w:pPr>
              <w:jc w:val="center"/>
              <w:rPr>
                <w:b/>
                <w:sz w:val="32"/>
                <w:szCs w:val="32"/>
              </w:rPr>
            </w:pPr>
            <w:r>
              <w:rPr>
                <w:b/>
                <w:sz w:val="32"/>
                <w:szCs w:val="32"/>
              </w:rPr>
              <w:t>0</w:t>
            </w: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t xml:space="preserve">Количество служащих, привлеченных к дисциплинарной ответственности за совершение коррупционных правонарушений                                                                                                   </w:t>
            </w:r>
          </w:p>
          <w:p w:rsidR="00B50F9E" w:rsidRPr="00972FF1" w:rsidRDefault="00B50F9E" w:rsidP="00B50F9E">
            <w:pPr>
              <w:jc w:val="both"/>
              <w:rPr>
                <w:rFonts w:ascii="Calibri" w:hAnsi="Calibri"/>
                <w:color w:val="000000"/>
                <w:sz w:val="32"/>
                <w:szCs w:val="32"/>
              </w:rPr>
            </w:pPr>
          </w:p>
        </w:tc>
        <w:tc>
          <w:tcPr>
            <w:tcW w:w="4574" w:type="dxa"/>
          </w:tcPr>
          <w:p w:rsidR="00972FF1" w:rsidRPr="00EB22BA" w:rsidRDefault="00A24716" w:rsidP="00A24716">
            <w:pPr>
              <w:jc w:val="center"/>
              <w:rPr>
                <w:b/>
                <w:sz w:val="32"/>
                <w:szCs w:val="32"/>
              </w:rPr>
            </w:pPr>
            <w:r>
              <w:rPr>
                <w:b/>
                <w:sz w:val="32"/>
                <w:szCs w:val="32"/>
              </w:rPr>
              <w:t>0</w:t>
            </w:r>
          </w:p>
        </w:tc>
      </w:tr>
      <w:tr w:rsidR="00DB52D4" w:rsidTr="00C46C5E">
        <w:tc>
          <w:tcPr>
            <w:tcW w:w="5032" w:type="dxa"/>
          </w:tcPr>
          <w:p w:rsidR="00DB52D4" w:rsidRPr="00972FF1" w:rsidRDefault="00DB52D4" w:rsidP="00B50F9E">
            <w:pPr>
              <w:jc w:val="both"/>
              <w:rPr>
                <w:rFonts w:ascii="Calibri" w:hAnsi="Calibri"/>
                <w:color w:val="000000"/>
                <w:sz w:val="32"/>
                <w:szCs w:val="32"/>
              </w:rPr>
            </w:pPr>
            <w:r w:rsidRPr="00972FF1">
              <w:rPr>
                <w:rFonts w:ascii="Calibri" w:hAnsi="Calibri"/>
                <w:color w:val="000000"/>
                <w:sz w:val="32"/>
                <w:szCs w:val="32"/>
              </w:rPr>
              <w:t>Количество служащих, привлеченных к уголовной ответственности</w:t>
            </w:r>
          </w:p>
        </w:tc>
        <w:tc>
          <w:tcPr>
            <w:tcW w:w="4574" w:type="dxa"/>
          </w:tcPr>
          <w:p w:rsidR="00DB52D4" w:rsidRPr="00EB22BA" w:rsidRDefault="00DB52D4" w:rsidP="00965A52">
            <w:pPr>
              <w:jc w:val="center"/>
              <w:rPr>
                <w:b/>
                <w:sz w:val="32"/>
                <w:szCs w:val="32"/>
              </w:rPr>
            </w:pPr>
            <w:r w:rsidRPr="00EB22BA">
              <w:rPr>
                <w:b/>
                <w:sz w:val="32"/>
                <w:szCs w:val="32"/>
              </w:rPr>
              <w:t>0</w:t>
            </w: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t xml:space="preserve">Количество поступивших уведомлений служащих  о </w:t>
            </w:r>
            <w:r w:rsidRPr="00972FF1">
              <w:rPr>
                <w:rFonts w:ascii="Calibri" w:hAnsi="Calibri"/>
                <w:b/>
                <w:bCs/>
                <w:color w:val="000000"/>
                <w:sz w:val="32"/>
                <w:szCs w:val="32"/>
              </w:rPr>
              <w:t>возможном</w:t>
            </w:r>
            <w:r w:rsidRPr="00972FF1">
              <w:rPr>
                <w:rFonts w:ascii="Calibri" w:hAnsi="Calibri"/>
                <w:color w:val="000000"/>
                <w:sz w:val="32"/>
                <w:szCs w:val="32"/>
              </w:rPr>
              <w:t xml:space="preserve"> возникновении у них конфликта интересов                                                                                                       </w:t>
            </w:r>
            <w:r w:rsidRPr="00972FF1">
              <w:rPr>
                <w:rFonts w:ascii="Arial" w:hAnsi="Arial" w:cs="Arial"/>
                <w:b/>
                <w:color w:val="000000"/>
                <w:sz w:val="32"/>
                <w:szCs w:val="32"/>
              </w:rPr>
              <w:t xml:space="preserve"> </w:t>
            </w:r>
          </w:p>
        </w:tc>
        <w:tc>
          <w:tcPr>
            <w:tcW w:w="4574" w:type="dxa"/>
          </w:tcPr>
          <w:p w:rsidR="00B50F9E" w:rsidRPr="00EB22BA" w:rsidRDefault="006479BF" w:rsidP="00B50F9E">
            <w:pPr>
              <w:jc w:val="center"/>
              <w:rPr>
                <w:b/>
                <w:sz w:val="32"/>
                <w:szCs w:val="32"/>
                <w:lang w:val="en-US"/>
              </w:rPr>
            </w:pPr>
            <w:r>
              <w:rPr>
                <w:b/>
                <w:sz w:val="32"/>
                <w:szCs w:val="32"/>
                <w:lang w:val="en-US"/>
              </w:rPr>
              <w:t>8</w:t>
            </w:r>
          </w:p>
          <w:p w:rsidR="00B50F9E" w:rsidRPr="00EB22BA" w:rsidRDefault="00B50F9E" w:rsidP="00B50F9E">
            <w:pPr>
              <w:jc w:val="both"/>
              <w:rPr>
                <w:b/>
                <w:sz w:val="32"/>
                <w:szCs w:val="32"/>
              </w:rPr>
            </w:pP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t xml:space="preserve">Количество граждан, замещавших должности государственной  службы, сведения о соблюдении которыми ограничений при </w:t>
            </w:r>
            <w:r w:rsidRPr="00972FF1">
              <w:rPr>
                <w:rFonts w:ascii="Calibri" w:hAnsi="Calibri"/>
                <w:color w:val="000000"/>
                <w:sz w:val="32"/>
                <w:szCs w:val="32"/>
              </w:rPr>
              <w:lastRenderedPageBreak/>
              <w:t>заключении ими после увольнения с  государственной службы трудового договора и (или) гражданско-правового договора в случаях, предусмотренных федеральными законами, были проанализированы</w:t>
            </w:r>
          </w:p>
        </w:tc>
        <w:tc>
          <w:tcPr>
            <w:tcW w:w="4574" w:type="dxa"/>
          </w:tcPr>
          <w:p w:rsidR="00B50F9E" w:rsidRPr="00EB22BA" w:rsidRDefault="00A24716" w:rsidP="00A24716">
            <w:pPr>
              <w:jc w:val="center"/>
              <w:rPr>
                <w:b/>
                <w:sz w:val="32"/>
                <w:szCs w:val="32"/>
              </w:rPr>
            </w:pPr>
            <w:r>
              <w:rPr>
                <w:b/>
                <w:sz w:val="32"/>
                <w:szCs w:val="32"/>
              </w:rPr>
              <w:lastRenderedPageBreak/>
              <w:t>15</w:t>
            </w: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lastRenderedPageBreak/>
              <w:t>Количество  служащих, которые уведомили об иной оплачиваемой работе</w:t>
            </w:r>
          </w:p>
        </w:tc>
        <w:tc>
          <w:tcPr>
            <w:tcW w:w="4574" w:type="dxa"/>
          </w:tcPr>
          <w:p w:rsidR="00B50F9E" w:rsidRPr="00EB22BA" w:rsidRDefault="00B50F9E" w:rsidP="00B50F9E">
            <w:pPr>
              <w:rPr>
                <w:b/>
                <w:sz w:val="32"/>
                <w:szCs w:val="32"/>
              </w:rPr>
            </w:pPr>
          </w:p>
          <w:p w:rsidR="00B50F9E" w:rsidRPr="00EB22BA" w:rsidRDefault="00972FF1" w:rsidP="00B50F9E">
            <w:pPr>
              <w:jc w:val="center"/>
              <w:rPr>
                <w:b/>
                <w:sz w:val="32"/>
                <w:szCs w:val="32"/>
              </w:rPr>
            </w:pPr>
            <w:r w:rsidRPr="00EB22BA">
              <w:rPr>
                <w:b/>
                <w:sz w:val="32"/>
                <w:szCs w:val="32"/>
              </w:rPr>
              <w:t>2</w:t>
            </w:r>
          </w:p>
          <w:p w:rsidR="00B50F9E" w:rsidRPr="00EB22BA" w:rsidRDefault="00B50F9E" w:rsidP="00B50F9E">
            <w:pPr>
              <w:rPr>
                <w:b/>
                <w:sz w:val="32"/>
                <w:szCs w:val="32"/>
              </w:rPr>
            </w:pP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4574" w:type="dxa"/>
          </w:tcPr>
          <w:p w:rsidR="00B50F9E" w:rsidRPr="00EB22BA" w:rsidRDefault="00B50F9E" w:rsidP="00B50F9E">
            <w:pPr>
              <w:rPr>
                <w:b/>
                <w:sz w:val="32"/>
                <w:szCs w:val="32"/>
              </w:rPr>
            </w:pPr>
          </w:p>
          <w:p w:rsidR="00B50F9E" w:rsidRPr="00EB22BA" w:rsidRDefault="00B50F9E" w:rsidP="00972FF1">
            <w:pPr>
              <w:jc w:val="center"/>
              <w:rPr>
                <w:b/>
                <w:sz w:val="32"/>
                <w:szCs w:val="32"/>
              </w:rPr>
            </w:pPr>
            <w:r w:rsidRPr="00EB22BA">
              <w:rPr>
                <w:b/>
                <w:sz w:val="32"/>
                <w:szCs w:val="32"/>
              </w:rPr>
              <w:t>1</w:t>
            </w: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t xml:space="preserve">Количество проведенных заседаний комиссий   </w:t>
            </w:r>
          </w:p>
        </w:tc>
        <w:tc>
          <w:tcPr>
            <w:tcW w:w="4574" w:type="dxa"/>
          </w:tcPr>
          <w:p w:rsidR="00B50F9E" w:rsidRPr="00EB22BA" w:rsidRDefault="00A24716" w:rsidP="00A24716">
            <w:pPr>
              <w:jc w:val="center"/>
              <w:rPr>
                <w:b/>
                <w:sz w:val="32"/>
                <w:szCs w:val="32"/>
              </w:rPr>
            </w:pPr>
            <w:r>
              <w:rPr>
                <w:b/>
                <w:sz w:val="32"/>
                <w:szCs w:val="32"/>
              </w:rPr>
              <w:t>1</w:t>
            </w:r>
          </w:p>
        </w:tc>
      </w:tr>
      <w:tr w:rsidR="00B50F9E" w:rsidTr="00C46C5E">
        <w:tc>
          <w:tcPr>
            <w:tcW w:w="5032" w:type="dxa"/>
          </w:tcPr>
          <w:p w:rsidR="00B50F9E" w:rsidRPr="00972FF1" w:rsidRDefault="00B50F9E" w:rsidP="00B50F9E">
            <w:pPr>
              <w:jc w:val="both"/>
              <w:rPr>
                <w:rFonts w:ascii="Calibri" w:hAnsi="Calibri"/>
                <w:color w:val="000000"/>
                <w:sz w:val="32"/>
                <w:szCs w:val="32"/>
              </w:rPr>
            </w:pPr>
            <w:r w:rsidRPr="00972FF1">
              <w:rPr>
                <w:rFonts w:ascii="Calibri" w:hAnsi="Calibri"/>
                <w:color w:val="000000"/>
                <w:sz w:val="32"/>
                <w:szCs w:val="32"/>
              </w:rPr>
              <w:t xml:space="preserve">Количество проведенных мероприятий правовой и антикоррупционной направленности              </w:t>
            </w:r>
          </w:p>
        </w:tc>
        <w:tc>
          <w:tcPr>
            <w:tcW w:w="4574" w:type="dxa"/>
          </w:tcPr>
          <w:p w:rsidR="00B50F9E" w:rsidRPr="00EB22BA" w:rsidRDefault="00A24716" w:rsidP="00A24716">
            <w:pPr>
              <w:jc w:val="center"/>
              <w:rPr>
                <w:b/>
                <w:sz w:val="32"/>
                <w:szCs w:val="32"/>
              </w:rPr>
            </w:pPr>
            <w:r>
              <w:rPr>
                <w:b/>
                <w:sz w:val="32"/>
                <w:szCs w:val="32"/>
              </w:rPr>
              <w:t>52</w:t>
            </w:r>
          </w:p>
        </w:tc>
      </w:tr>
      <w:tr w:rsidR="006A4230" w:rsidTr="00C46C5E">
        <w:tc>
          <w:tcPr>
            <w:tcW w:w="5032" w:type="dxa"/>
          </w:tcPr>
          <w:p w:rsidR="006A4230" w:rsidRPr="00972FF1" w:rsidRDefault="00A144E6" w:rsidP="00A144E6">
            <w:pPr>
              <w:jc w:val="both"/>
              <w:rPr>
                <w:rFonts w:ascii="Calibri" w:hAnsi="Calibri"/>
                <w:color w:val="000000"/>
                <w:sz w:val="32"/>
                <w:szCs w:val="32"/>
              </w:rPr>
            </w:pPr>
            <w:proofErr w:type="gramStart"/>
            <w:r>
              <w:rPr>
                <w:rFonts w:ascii="Calibri" w:hAnsi="Calibri"/>
                <w:color w:val="000000"/>
                <w:sz w:val="32"/>
                <w:szCs w:val="32"/>
              </w:rPr>
              <w:t>Поступило обращений</w:t>
            </w:r>
            <w:r w:rsidRPr="00A144E6">
              <w:rPr>
                <w:rFonts w:ascii="Calibri" w:hAnsi="Calibri"/>
                <w:color w:val="000000"/>
                <w:sz w:val="32"/>
                <w:szCs w:val="32"/>
              </w:rPr>
              <w:t xml:space="preserve"> /</w:t>
            </w:r>
            <w:r>
              <w:rPr>
                <w:rFonts w:ascii="Calibri" w:hAnsi="Calibri"/>
                <w:color w:val="000000"/>
                <w:sz w:val="32"/>
                <w:szCs w:val="32"/>
              </w:rPr>
              <w:t xml:space="preserve"> из них информация подтвердилась</w:t>
            </w:r>
            <w:proofErr w:type="gramEnd"/>
          </w:p>
        </w:tc>
        <w:tc>
          <w:tcPr>
            <w:tcW w:w="4574" w:type="dxa"/>
          </w:tcPr>
          <w:p w:rsidR="006A4230" w:rsidRPr="00EB22BA" w:rsidRDefault="00A24716" w:rsidP="00A24716">
            <w:pPr>
              <w:jc w:val="center"/>
              <w:rPr>
                <w:b/>
                <w:sz w:val="32"/>
                <w:szCs w:val="32"/>
              </w:rPr>
            </w:pPr>
            <w:r>
              <w:rPr>
                <w:b/>
                <w:sz w:val="32"/>
                <w:szCs w:val="32"/>
              </w:rPr>
              <w:t>7</w:t>
            </w:r>
            <w:r w:rsidR="00A144E6" w:rsidRPr="00EB22BA">
              <w:rPr>
                <w:b/>
                <w:sz w:val="32"/>
                <w:szCs w:val="32"/>
              </w:rPr>
              <w:t>/</w:t>
            </w:r>
            <w:r w:rsidR="00972FF1" w:rsidRPr="00EB22BA">
              <w:rPr>
                <w:b/>
                <w:sz w:val="32"/>
                <w:szCs w:val="32"/>
              </w:rPr>
              <w:t>0</w:t>
            </w:r>
          </w:p>
        </w:tc>
      </w:tr>
      <w:tr w:rsidR="00A144E6" w:rsidTr="003539BA">
        <w:tc>
          <w:tcPr>
            <w:tcW w:w="9606" w:type="dxa"/>
            <w:gridSpan w:val="2"/>
          </w:tcPr>
          <w:p w:rsidR="00A144E6" w:rsidRPr="00EB22BA" w:rsidRDefault="00A144E6" w:rsidP="00A144E6">
            <w:pPr>
              <w:ind w:firstLine="708"/>
              <w:jc w:val="both"/>
              <w:rPr>
                <w:rFonts w:ascii="Times New Roman" w:hAnsi="Times New Roman" w:cs="Times New Roman"/>
                <w:sz w:val="36"/>
                <w:szCs w:val="36"/>
              </w:rPr>
            </w:pPr>
            <w:r>
              <w:tab/>
            </w:r>
            <w:r w:rsidRPr="00EB22BA">
              <w:rPr>
                <w:rFonts w:ascii="Times New Roman" w:hAnsi="Times New Roman" w:cs="Times New Roman"/>
                <w:sz w:val="36"/>
                <w:szCs w:val="36"/>
              </w:rPr>
              <w:t xml:space="preserve"> В соответствии с Методикой </w:t>
            </w:r>
            <w:proofErr w:type="gramStart"/>
            <w:r w:rsidRPr="00EB22BA">
              <w:rPr>
                <w:rFonts w:ascii="Times New Roman" w:hAnsi="Times New Roman" w:cs="Times New Roman"/>
                <w:sz w:val="36"/>
                <w:szCs w:val="36"/>
              </w:rPr>
              <w:t>оценки эффективности деятельности подразделений кадровых служб</w:t>
            </w:r>
            <w:proofErr w:type="gramEnd"/>
            <w:r w:rsidRPr="00EB22BA">
              <w:rPr>
                <w:rFonts w:ascii="Times New Roman" w:hAnsi="Times New Roman" w:cs="Times New Roman"/>
                <w:sz w:val="36"/>
                <w:szCs w:val="36"/>
              </w:rPr>
              <w:t xml:space="preserve"> по профилактике коррупционных и иных правонарушений суммарный оценочный балл Управления в 202</w:t>
            </w:r>
            <w:r w:rsidR="006479BF" w:rsidRPr="00F33A01">
              <w:rPr>
                <w:rFonts w:ascii="Times New Roman" w:hAnsi="Times New Roman" w:cs="Times New Roman"/>
                <w:sz w:val="36"/>
                <w:szCs w:val="36"/>
              </w:rPr>
              <w:t>3</w:t>
            </w:r>
            <w:r w:rsidRPr="00EB22BA">
              <w:rPr>
                <w:rFonts w:ascii="Times New Roman" w:hAnsi="Times New Roman" w:cs="Times New Roman"/>
                <w:sz w:val="36"/>
                <w:szCs w:val="36"/>
              </w:rPr>
              <w:t xml:space="preserve"> году составил 96,5, что соответствует высокому уровню  эффективности деятельности Управления по профилактике коррупционных и иных правонарушений.</w:t>
            </w:r>
          </w:p>
          <w:p w:rsidR="00A144E6" w:rsidRPr="00865A74" w:rsidRDefault="00A144E6" w:rsidP="00A144E6">
            <w:pPr>
              <w:tabs>
                <w:tab w:val="left" w:pos="3975"/>
              </w:tabs>
            </w:pPr>
          </w:p>
        </w:tc>
      </w:tr>
    </w:tbl>
    <w:p w:rsidR="00DB52D4" w:rsidRDefault="00DB52D4" w:rsidP="00A144E6">
      <w:pPr>
        <w:spacing w:line="240" w:lineRule="auto"/>
        <w:ind w:firstLine="708"/>
        <w:jc w:val="both"/>
        <w:rPr>
          <w:rFonts w:ascii="Times New Roman" w:hAnsi="Times New Roman" w:cs="Times New Roman"/>
          <w:sz w:val="28"/>
        </w:rPr>
      </w:pPr>
    </w:p>
    <w:p w:rsidR="00F33A01" w:rsidRPr="00F33A01" w:rsidRDefault="00F33A01" w:rsidP="00F33A01">
      <w:pPr>
        <w:pStyle w:val="ConsPlusNonformat"/>
        <w:spacing w:before="0"/>
        <w:ind w:left="-567" w:firstLine="708"/>
        <w:jc w:val="both"/>
        <w:rPr>
          <w:rFonts w:ascii="Times New Roman" w:eastAsiaTheme="minorHAnsi" w:hAnsi="Times New Roman" w:cs="Times New Roman"/>
          <w:sz w:val="36"/>
          <w:szCs w:val="36"/>
          <w:lang w:val="ru-RU" w:eastAsia="en-US"/>
        </w:rPr>
      </w:pPr>
      <w:r w:rsidRPr="00F33A01">
        <w:rPr>
          <w:rFonts w:ascii="Times New Roman" w:eastAsiaTheme="minorHAnsi" w:hAnsi="Times New Roman" w:cs="Times New Roman"/>
          <w:sz w:val="36"/>
          <w:szCs w:val="36"/>
          <w:lang w:val="ru-RU" w:eastAsia="en-US"/>
        </w:rPr>
        <w:lastRenderedPageBreak/>
        <w:t xml:space="preserve">Основной особенностью функционирования подразделений налоговых органов Курской области в </w:t>
      </w:r>
      <w:r w:rsidR="00A24716">
        <w:rPr>
          <w:rFonts w:ascii="Times New Roman" w:eastAsiaTheme="minorHAnsi" w:hAnsi="Times New Roman" w:cs="Times New Roman"/>
          <w:sz w:val="36"/>
          <w:szCs w:val="36"/>
          <w:lang w:val="ru-RU" w:eastAsia="en-US"/>
        </w:rPr>
        <w:t xml:space="preserve">1 кв. </w:t>
      </w:r>
      <w:r w:rsidRPr="00F33A01">
        <w:rPr>
          <w:rFonts w:ascii="Times New Roman" w:eastAsiaTheme="minorHAnsi" w:hAnsi="Times New Roman" w:cs="Times New Roman"/>
          <w:sz w:val="36"/>
          <w:szCs w:val="36"/>
          <w:lang w:val="ru-RU" w:eastAsia="en-US"/>
        </w:rPr>
        <w:t>202</w:t>
      </w:r>
      <w:r w:rsidR="00A24716">
        <w:rPr>
          <w:rFonts w:ascii="Times New Roman" w:eastAsiaTheme="minorHAnsi" w:hAnsi="Times New Roman" w:cs="Times New Roman"/>
          <w:sz w:val="36"/>
          <w:szCs w:val="36"/>
          <w:lang w:val="ru-RU" w:eastAsia="en-US"/>
        </w:rPr>
        <w:t>4</w:t>
      </w:r>
      <w:r w:rsidRPr="00F33A01">
        <w:rPr>
          <w:rFonts w:ascii="Times New Roman" w:eastAsiaTheme="minorHAnsi" w:hAnsi="Times New Roman" w:cs="Times New Roman"/>
          <w:sz w:val="36"/>
          <w:szCs w:val="36"/>
          <w:lang w:val="ru-RU" w:eastAsia="en-US"/>
        </w:rPr>
        <w:t xml:space="preserve"> году является приграничный статус региона (245 км</w:t>
      </w:r>
      <w:proofErr w:type="gramStart"/>
      <w:r w:rsidRPr="00F33A01">
        <w:rPr>
          <w:rFonts w:ascii="Times New Roman" w:eastAsiaTheme="minorHAnsi" w:hAnsi="Times New Roman" w:cs="Times New Roman"/>
          <w:sz w:val="36"/>
          <w:szCs w:val="36"/>
          <w:lang w:val="ru-RU" w:eastAsia="en-US"/>
        </w:rPr>
        <w:t>.</w:t>
      </w:r>
      <w:proofErr w:type="gramEnd"/>
      <w:r w:rsidRPr="00F33A01">
        <w:rPr>
          <w:rFonts w:ascii="Times New Roman" w:eastAsiaTheme="minorHAnsi" w:hAnsi="Times New Roman" w:cs="Times New Roman"/>
          <w:sz w:val="36"/>
          <w:szCs w:val="36"/>
          <w:lang w:val="ru-RU" w:eastAsia="en-US"/>
        </w:rPr>
        <w:t xml:space="preserve"> </w:t>
      </w:r>
      <w:proofErr w:type="gramStart"/>
      <w:r w:rsidRPr="00F33A01">
        <w:rPr>
          <w:rFonts w:ascii="Times New Roman" w:eastAsiaTheme="minorHAnsi" w:hAnsi="Times New Roman" w:cs="Times New Roman"/>
          <w:sz w:val="36"/>
          <w:szCs w:val="36"/>
          <w:lang w:val="ru-RU" w:eastAsia="en-US"/>
        </w:rPr>
        <w:t>г</w:t>
      </w:r>
      <w:proofErr w:type="gramEnd"/>
      <w:r w:rsidRPr="00F33A01">
        <w:rPr>
          <w:rFonts w:ascii="Times New Roman" w:eastAsiaTheme="minorHAnsi" w:hAnsi="Times New Roman" w:cs="Times New Roman"/>
          <w:sz w:val="36"/>
          <w:szCs w:val="36"/>
          <w:lang w:val="ru-RU" w:eastAsia="en-US"/>
        </w:rPr>
        <w:t xml:space="preserve">осударственной границы с Украиной). В этой связи организован и проводится комплекс практических мероприятий по антитеррористической защите объектов и персонала налоговых органов области  Курской области в период действия высокого («желтого») уровня террористической опасности. </w:t>
      </w:r>
    </w:p>
    <w:p w:rsidR="00F33A01" w:rsidRPr="00F33A01" w:rsidRDefault="00F33A01" w:rsidP="00510397">
      <w:pPr>
        <w:pStyle w:val="ConsPlusNormal"/>
        <w:ind w:left="-567" w:firstLine="708"/>
        <w:jc w:val="both"/>
        <w:rPr>
          <w:rFonts w:ascii="Times New Roman" w:eastAsiaTheme="minorHAnsi" w:hAnsi="Times New Roman" w:cs="Times New Roman"/>
          <w:sz w:val="36"/>
          <w:szCs w:val="36"/>
          <w:lang w:eastAsia="en-US"/>
        </w:rPr>
      </w:pPr>
      <w:r w:rsidRPr="00F33A01">
        <w:rPr>
          <w:rFonts w:ascii="Times New Roman" w:eastAsiaTheme="minorHAnsi" w:hAnsi="Times New Roman" w:cs="Times New Roman"/>
          <w:sz w:val="36"/>
          <w:szCs w:val="36"/>
          <w:lang w:eastAsia="en-US"/>
        </w:rPr>
        <w:t>По результатам комиссионного обследования установлены следующие категории опасности:</w:t>
      </w:r>
    </w:p>
    <w:p w:rsidR="00F33A01" w:rsidRPr="00F33A01" w:rsidRDefault="00F33A01" w:rsidP="00F33A01">
      <w:pPr>
        <w:pStyle w:val="ConsPlusNormal"/>
        <w:adjustRightInd/>
        <w:ind w:left="-567" w:firstLine="0"/>
        <w:jc w:val="both"/>
        <w:rPr>
          <w:rFonts w:ascii="Times New Roman" w:eastAsiaTheme="minorHAnsi" w:hAnsi="Times New Roman" w:cs="Times New Roman"/>
          <w:sz w:val="36"/>
          <w:szCs w:val="36"/>
          <w:lang w:eastAsia="en-US"/>
        </w:rPr>
      </w:pPr>
      <w:r w:rsidRPr="00F33A01">
        <w:rPr>
          <w:rFonts w:ascii="Times New Roman" w:eastAsiaTheme="minorHAnsi" w:hAnsi="Times New Roman" w:cs="Times New Roman"/>
          <w:sz w:val="36"/>
          <w:szCs w:val="36"/>
          <w:lang w:eastAsia="en-US"/>
        </w:rPr>
        <w:t xml:space="preserve">- Высокой опасности – 6 объектов:  3 Курск, 1 Рыльск, 1 Суджа, </w:t>
      </w:r>
      <w:r w:rsidRPr="00F33A01">
        <w:rPr>
          <w:rFonts w:ascii="Times New Roman" w:eastAsiaTheme="minorHAnsi" w:hAnsi="Times New Roman" w:cs="Times New Roman"/>
          <w:sz w:val="36"/>
          <w:szCs w:val="36"/>
          <w:lang w:eastAsia="en-US"/>
        </w:rPr>
        <w:br/>
        <w:t xml:space="preserve">1 Льгов. </w:t>
      </w:r>
    </w:p>
    <w:p w:rsidR="00F33A01" w:rsidRPr="00F33A01" w:rsidRDefault="00F33A01" w:rsidP="00F33A01">
      <w:pPr>
        <w:pStyle w:val="ConsPlusNormal"/>
        <w:adjustRightInd/>
        <w:ind w:left="-567" w:firstLine="0"/>
        <w:jc w:val="both"/>
        <w:rPr>
          <w:rFonts w:ascii="Times New Roman" w:eastAsiaTheme="minorHAnsi" w:hAnsi="Times New Roman" w:cs="Times New Roman"/>
          <w:sz w:val="36"/>
          <w:szCs w:val="36"/>
          <w:lang w:eastAsia="en-US"/>
        </w:rPr>
      </w:pPr>
      <w:r w:rsidRPr="00F33A01">
        <w:rPr>
          <w:rFonts w:ascii="Times New Roman" w:eastAsiaTheme="minorHAnsi" w:hAnsi="Times New Roman" w:cs="Times New Roman"/>
          <w:sz w:val="36"/>
          <w:szCs w:val="36"/>
          <w:lang w:eastAsia="en-US"/>
        </w:rPr>
        <w:t>- Средней опасности – 2 объекта (Железногорск, п. Пристень).</w:t>
      </w:r>
    </w:p>
    <w:p w:rsidR="00F33A01" w:rsidRPr="00F33A01" w:rsidRDefault="00F33A01" w:rsidP="00F33A01">
      <w:pPr>
        <w:pStyle w:val="ConsPlusNormal"/>
        <w:adjustRightInd/>
        <w:ind w:left="-567" w:firstLine="0"/>
        <w:jc w:val="both"/>
        <w:rPr>
          <w:rFonts w:ascii="Times New Roman" w:eastAsiaTheme="minorHAnsi" w:hAnsi="Times New Roman" w:cs="Times New Roman"/>
          <w:sz w:val="36"/>
          <w:szCs w:val="36"/>
          <w:lang w:eastAsia="en-US"/>
        </w:rPr>
      </w:pPr>
      <w:proofErr w:type="gramStart"/>
      <w:r w:rsidRPr="00F33A01">
        <w:rPr>
          <w:rFonts w:ascii="Times New Roman" w:eastAsiaTheme="minorHAnsi" w:hAnsi="Times New Roman" w:cs="Times New Roman"/>
          <w:sz w:val="36"/>
          <w:szCs w:val="36"/>
          <w:lang w:eastAsia="en-US"/>
        </w:rPr>
        <w:t xml:space="preserve">- Низкой опасности – 4 объекта (п. </w:t>
      </w:r>
      <w:proofErr w:type="spellStart"/>
      <w:r w:rsidRPr="00F33A01">
        <w:rPr>
          <w:rFonts w:ascii="Times New Roman" w:eastAsiaTheme="minorHAnsi" w:hAnsi="Times New Roman" w:cs="Times New Roman"/>
          <w:sz w:val="36"/>
          <w:szCs w:val="36"/>
          <w:lang w:eastAsia="en-US"/>
        </w:rPr>
        <w:t>Касторное</w:t>
      </w:r>
      <w:proofErr w:type="spellEnd"/>
      <w:r w:rsidRPr="00F33A01">
        <w:rPr>
          <w:rFonts w:ascii="Times New Roman" w:eastAsiaTheme="minorHAnsi" w:hAnsi="Times New Roman" w:cs="Times New Roman"/>
          <w:sz w:val="36"/>
          <w:szCs w:val="36"/>
          <w:lang w:eastAsia="en-US"/>
        </w:rPr>
        <w:t xml:space="preserve">, с. </w:t>
      </w:r>
      <w:proofErr w:type="spellStart"/>
      <w:r w:rsidRPr="00F33A01">
        <w:rPr>
          <w:rFonts w:ascii="Times New Roman" w:eastAsiaTheme="minorHAnsi" w:hAnsi="Times New Roman" w:cs="Times New Roman"/>
          <w:sz w:val="36"/>
          <w:szCs w:val="36"/>
          <w:lang w:eastAsia="en-US"/>
        </w:rPr>
        <w:t>Мантурово</w:t>
      </w:r>
      <w:proofErr w:type="spellEnd"/>
      <w:r w:rsidRPr="00F33A01">
        <w:rPr>
          <w:rFonts w:ascii="Times New Roman" w:eastAsiaTheme="minorHAnsi" w:hAnsi="Times New Roman" w:cs="Times New Roman"/>
          <w:sz w:val="36"/>
          <w:szCs w:val="36"/>
          <w:lang w:eastAsia="en-US"/>
        </w:rPr>
        <w:t>, г. Щигры.</w:t>
      </w:r>
      <w:proofErr w:type="gramEnd"/>
    </w:p>
    <w:p w:rsidR="00F33A01" w:rsidRPr="00F33A01" w:rsidRDefault="00F33A01" w:rsidP="00F33A01">
      <w:pPr>
        <w:pStyle w:val="ConsPlusNonformat"/>
        <w:spacing w:before="0"/>
        <w:ind w:left="-567" w:firstLine="708"/>
        <w:jc w:val="both"/>
        <w:rPr>
          <w:rFonts w:ascii="Times New Roman" w:eastAsiaTheme="minorHAnsi" w:hAnsi="Times New Roman" w:cs="Times New Roman"/>
          <w:sz w:val="36"/>
          <w:szCs w:val="36"/>
          <w:lang w:val="ru-RU" w:eastAsia="en-US"/>
        </w:rPr>
      </w:pPr>
      <w:r w:rsidRPr="00F33A01">
        <w:rPr>
          <w:rFonts w:ascii="Times New Roman" w:eastAsiaTheme="minorHAnsi" w:hAnsi="Times New Roman" w:cs="Times New Roman"/>
          <w:sz w:val="36"/>
          <w:szCs w:val="36"/>
          <w:lang w:val="ru-RU" w:eastAsia="en-US"/>
        </w:rPr>
        <w:t xml:space="preserve">C учетом приграничного с Украиной статуса региона проведено </w:t>
      </w:r>
      <w:r w:rsidR="00A24716">
        <w:rPr>
          <w:rFonts w:ascii="Times New Roman" w:eastAsiaTheme="minorHAnsi" w:hAnsi="Times New Roman" w:cs="Times New Roman"/>
          <w:sz w:val="36"/>
          <w:szCs w:val="36"/>
          <w:lang w:val="ru-RU" w:eastAsia="en-US"/>
        </w:rPr>
        <w:t>3</w:t>
      </w:r>
      <w:r w:rsidRPr="00F33A01">
        <w:rPr>
          <w:rFonts w:ascii="Times New Roman" w:eastAsiaTheme="minorHAnsi" w:hAnsi="Times New Roman" w:cs="Times New Roman"/>
          <w:sz w:val="36"/>
          <w:szCs w:val="36"/>
          <w:lang w:val="ru-RU" w:eastAsia="en-US"/>
        </w:rPr>
        <w:t xml:space="preserve"> рабочих встреч</w:t>
      </w:r>
      <w:r w:rsidR="00A24716">
        <w:rPr>
          <w:rFonts w:ascii="Times New Roman" w:eastAsiaTheme="minorHAnsi" w:hAnsi="Times New Roman" w:cs="Times New Roman"/>
          <w:sz w:val="36"/>
          <w:szCs w:val="36"/>
          <w:lang w:val="ru-RU" w:eastAsia="en-US"/>
        </w:rPr>
        <w:t>и</w:t>
      </w:r>
      <w:r w:rsidRPr="00F33A01">
        <w:rPr>
          <w:rFonts w:ascii="Times New Roman" w:eastAsiaTheme="minorHAnsi" w:hAnsi="Times New Roman" w:cs="Times New Roman"/>
          <w:sz w:val="36"/>
          <w:szCs w:val="36"/>
          <w:lang w:val="ru-RU" w:eastAsia="en-US"/>
        </w:rPr>
        <w:t xml:space="preserve"> с сотрудниками УФСБ России по Курской области, УМВД России по Курской области, УВНГ России по Курской области, руководством филиала – 43 отряда ФКУ «ГУ </w:t>
      </w:r>
      <w:proofErr w:type="gramStart"/>
      <w:r w:rsidRPr="00F33A01">
        <w:rPr>
          <w:rFonts w:ascii="Times New Roman" w:eastAsiaTheme="minorHAnsi" w:hAnsi="Times New Roman" w:cs="Times New Roman"/>
          <w:sz w:val="36"/>
          <w:szCs w:val="36"/>
          <w:lang w:val="ru-RU" w:eastAsia="en-US"/>
        </w:rPr>
        <w:t>ВО</w:t>
      </w:r>
      <w:proofErr w:type="gramEnd"/>
      <w:r w:rsidRPr="00F33A01">
        <w:rPr>
          <w:rFonts w:ascii="Times New Roman" w:eastAsiaTheme="minorHAnsi" w:hAnsi="Times New Roman" w:cs="Times New Roman"/>
          <w:sz w:val="36"/>
          <w:szCs w:val="36"/>
          <w:lang w:val="ru-RU" w:eastAsia="en-US"/>
        </w:rPr>
        <w:t xml:space="preserve"> Минфина России» (г. Воронеж).</w:t>
      </w:r>
    </w:p>
    <w:p w:rsidR="00F33A01" w:rsidRDefault="00F33A01" w:rsidP="00F33A01">
      <w:pPr>
        <w:autoSpaceDE w:val="0"/>
        <w:autoSpaceDN w:val="0"/>
        <w:adjustRightInd w:val="0"/>
        <w:spacing w:after="0" w:line="240" w:lineRule="auto"/>
        <w:ind w:left="-567" w:firstLine="708"/>
        <w:jc w:val="both"/>
        <w:rPr>
          <w:rFonts w:ascii="Times New Roman" w:hAnsi="Times New Roman" w:cs="Times New Roman"/>
          <w:sz w:val="36"/>
          <w:szCs w:val="36"/>
        </w:rPr>
      </w:pPr>
      <w:r w:rsidRPr="00F33A01">
        <w:rPr>
          <w:rFonts w:ascii="Times New Roman" w:hAnsi="Times New Roman" w:cs="Times New Roman"/>
          <w:sz w:val="36"/>
          <w:szCs w:val="36"/>
        </w:rPr>
        <w:t>Уточнены планирующие документы (паспорта безопасности, планы действий ГО, обновлены схемы оповещения сотрудников в рабочее и не рабочее время). Проведена проверка обеспеченности средствами индивидуальной защиты, медицинскими аптечками, средствами пожаротушения.</w:t>
      </w:r>
    </w:p>
    <w:p w:rsidR="00F33A01" w:rsidRPr="00F33A01" w:rsidRDefault="00F33A01" w:rsidP="00F33A01">
      <w:pPr>
        <w:autoSpaceDE w:val="0"/>
        <w:autoSpaceDN w:val="0"/>
        <w:adjustRightInd w:val="0"/>
        <w:spacing w:after="0" w:line="240" w:lineRule="auto"/>
        <w:ind w:left="-567" w:firstLine="708"/>
        <w:jc w:val="both"/>
        <w:rPr>
          <w:rFonts w:ascii="Times New Roman" w:hAnsi="Times New Roman" w:cs="Times New Roman"/>
          <w:sz w:val="36"/>
          <w:szCs w:val="36"/>
        </w:rPr>
      </w:pPr>
      <w:r w:rsidRPr="00F33A01">
        <w:rPr>
          <w:rFonts w:ascii="Times New Roman" w:hAnsi="Times New Roman" w:cs="Times New Roman"/>
          <w:sz w:val="36"/>
          <w:szCs w:val="36"/>
        </w:rPr>
        <w:t>Управление организовано круглосуточное взаимодействие с дежурными службами.</w:t>
      </w:r>
    </w:p>
    <w:p w:rsidR="00F33A01" w:rsidRPr="00F33A01" w:rsidRDefault="00F33A01" w:rsidP="00F33A01">
      <w:pPr>
        <w:spacing w:after="0" w:line="240" w:lineRule="auto"/>
        <w:ind w:left="-567" w:firstLine="708"/>
        <w:jc w:val="both"/>
        <w:rPr>
          <w:rFonts w:ascii="Times New Roman" w:hAnsi="Times New Roman" w:cs="Times New Roman"/>
          <w:sz w:val="36"/>
          <w:szCs w:val="36"/>
        </w:rPr>
      </w:pPr>
      <w:r w:rsidRPr="00F33A01">
        <w:rPr>
          <w:rFonts w:ascii="Times New Roman" w:hAnsi="Times New Roman" w:cs="Times New Roman"/>
          <w:sz w:val="36"/>
          <w:szCs w:val="36"/>
        </w:rPr>
        <w:t xml:space="preserve">Отделом разработаны и реализуются дополнительные мероприятия антитеррористической защищенности объектов Управления, совместно с отделом кадров подготовлены дополнительные заявки на обучение ответственных по </w:t>
      </w:r>
      <w:r w:rsidRPr="00F33A01">
        <w:rPr>
          <w:rFonts w:ascii="Times New Roman" w:hAnsi="Times New Roman" w:cs="Times New Roman"/>
          <w:sz w:val="36"/>
          <w:szCs w:val="36"/>
        </w:rPr>
        <w:lastRenderedPageBreak/>
        <w:t xml:space="preserve">обособленным подразделениям вопросам профилактики терроризма. </w:t>
      </w:r>
    </w:p>
    <w:p w:rsidR="00F33A01" w:rsidRDefault="00F33A01" w:rsidP="00E32A9B">
      <w:pPr>
        <w:spacing w:after="0" w:line="240" w:lineRule="auto"/>
        <w:ind w:left="-567" w:firstLine="708"/>
        <w:jc w:val="both"/>
        <w:rPr>
          <w:rFonts w:ascii="Times New Roman" w:hAnsi="Times New Roman" w:cs="Times New Roman"/>
          <w:sz w:val="36"/>
          <w:szCs w:val="36"/>
        </w:rPr>
      </w:pPr>
      <w:proofErr w:type="gramStart"/>
      <w:r w:rsidRPr="00F33A01">
        <w:rPr>
          <w:rFonts w:ascii="Times New Roman" w:hAnsi="Times New Roman" w:cs="Times New Roman"/>
          <w:sz w:val="36"/>
          <w:szCs w:val="36"/>
        </w:rPr>
        <w:t xml:space="preserve">Руководителем Управления утвержден План обеспечения антитеррористической защищенности объектов (территорий) УФНС России по Курской области, План действий должностных лиц УФНС России по Курской области при установлении уровней террористической опасности, Инструкция по действиям руководителя УФНС России по Курской области, а также других должностных лиц при угрозе (совершении) террористических актов на Объектах, которые направлены в для исполнения. </w:t>
      </w:r>
      <w:proofErr w:type="gramEnd"/>
    </w:p>
    <w:p w:rsidR="00E32A9B" w:rsidRPr="00E32A9B" w:rsidRDefault="00E32A9B" w:rsidP="00E32A9B">
      <w:pPr>
        <w:spacing w:after="0" w:line="240" w:lineRule="auto"/>
        <w:ind w:left="-567" w:firstLine="709"/>
        <w:jc w:val="both"/>
        <w:rPr>
          <w:rFonts w:ascii="Times New Roman" w:hAnsi="Times New Roman" w:cs="Times New Roman"/>
          <w:sz w:val="36"/>
          <w:szCs w:val="36"/>
        </w:rPr>
      </w:pPr>
      <w:proofErr w:type="gramStart"/>
      <w:r>
        <w:rPr>
          <w:rFonts w:ascii="Times New Roman" w:hAnsi="Times New Roman" w:cs="Times New Roman"/>
          <w:sz w:val="36"/>
          <w:szCs w:val="36"/>
        </w:rPr>
        <w:t xml:space="preserve">В </w:t>
      </w:r>
      <w:r w:rsidR="00AA65D6" w:rsidRPr="00AA65D6">
        <w:rPr>
          <w:rFonts w:ascii="Times New Roman" w:hAnsi="Times New Roman" w:cs="Times New Roman"/>
          <w:sz w:val="36"/>
          <w:szCs w:val="36"/>
        </w:rPr>
        <w:t xml:space="preserve">1 </w:t>
      </w:r>
      <w:r w:rsidR="00AA65D6">
        <w:rPr>
          <w:rFonts w:ascii="Times New Roman" w:hAnsi="Times New Roman" w:cs="Times New Roman"/>
          <w:sz w:val="36"/>
          <w:szCs w:val="36"/>
        </w:rPr>
        <w:t xml:space="preserve">кв. </w:t>
      </w:r>
      <w:r>
        <w:rPr>
          <w:rFonts w:ascii="Times New Roman" w:hAnsi="Times New Roman" w:cs="Times New Roman"/>
          <w:sz w:val="36"/>
          <w:szCs w:val="36"/>
        </w:rPr>
        <w:t>202</w:t>
      </w:r>
      <w:r w:rsidR="00A24716">
        <w:rPr>
          <w:rFonts w:ascii="Times New Roman" w:hAnsi="Times New Roman" w:cs="Times New Roman"/>
          <w:sz w:val="36"/>
          <w:szCs w:val="36"/>
        </w:rPr>
        <w:t>4</w:t>
      </w:r>
      <w:r>
        <w:rPr>
          <w:rFonts w:ascii="Times New Roman" w:hAnsi="Times New Roman" w:cs="Times New Roman"/>
          <w:sz w:val="36"/>
          <w:szCs w:val="36"/>
        </w:rPr>
        <w:t xml:space="preserve"> год</w:t>
      </w:r>
      <w:r w:rsidR="00AA65D6">
        <w:rPr>
          <w:rFonts w:ascii="Times New Roman" w:hAnsi="Times New Roman" w:cs="Times New Roman"/>
          <w:sz w:val="36"/>
          <w:szCs w:val="36"/>
        </w:rPr>
        <w:t>а</w:t>
      </w:r>
      <w:r>
        <w:rPr>
          <w:rFonts w:ascii="Times New Roman" w:hAnsi="Times New Roman" w:cs="Times New Roman"/>
          <w:sz w:val="36"/>
          <w:szCs w:val="36"/>
        </w:rPr>
        <w:t xml:space="preserve"> о</w:t>
      </w:r>
      <w:r w:rsidRPr="00E32A9B">
        <w:rPr>
          <w:rFonts w:ascii="Times New Roman" w:hAnsi="Times New Roman" w:cs="Times New Roman"/>
          <w:sz w:val="36"/>
          <w:szCs w:val="36"/>
        </w:rPr>
        <w:t>сновные усилия направлены на совершенствование знаний, навыков и умений на реализацию единой государственной политики в области гражданской обороны, защиты сотрудников и объектов налоговых органов Курской области от чрезвычайных ситуаций (далее – ЧС) природного и техногенного  характера, а также на снижение рисков возникновения и смягчение последствий ЧС, обеспечение безопасности работников, а также совершенствования системы защиты работников в</w:t>
      </w:r>
      <w:proofErr w:type="gramEnd"/>
      <w:r w:rsidRPr="00E32A9B">
        <w:rPr>
          <w:rFonts w:ascii="Times New Roman" w:hAnsi="Times New Roman" w:cs="Times New Roman"/>
          <w:sz w:val="36"/>
          <w:szCs w:val="36"/>
        </w:rPr>
        <w:t xml:space="preserve"> мирное и военное время.</w:t>
      </w:r>
    </w:p>
    <w:p w:rsidR="00E32A9B" w:rsidRDefault="00E32A9B" w:rsidP="00E32A9B">
      <w:pPr>
        <w:widowControl w:val="0"/>
        <w:spacing w:after="0" w:line="240" w:lineRule="auto"/>
        <w:ind w:left="-567" w:firstLine="709"/>
        <w:jc w:val="both"/>
        <w:rPr>
          <w:rFonts w:ascii="Times New Roman" w:hAnsi="Times New Roman" w:cs="Times New Roman"/>
          <w:sz w:val="36"/>
          <w:szCs w:val="36"/>
        </w:rPr>
      </w:pPr>
      <w:r w:rsidRPr="00E32A9B">
        <w:rPr>
          <w:rFonts w:ascii="Times New Roman" w:hAnsi="Times New Roman" w:cs="Times New Roman"/>
          <w:sz w:val="36"/>
          <w:szCs w:val="36"/>
        </w:rPr>
        <w:t xml:space="preserve">Проведена работа по организации нештатных формирований по обеспечению выполнения мероприятий по гражданской обороне, их обучению и обеспечению готовности к реагированию на чрезвычайные ситуации. </w:t>
      </w:r>
    </w:p>
    <w:p w:rsidR="00E32A9B" w:rsidRPr="00E32A9B" w:rsidRDefault="00E32A9B" w:rsidP="00E32A9B">
      <w:pPr>
        <w:widowControl w:val="0"/>
        <w:spacing w:after="0" w:line="240" w:lineRule="auto"/>
        <w:ind w:left="-567" w:firstLine="709"/>
        <w:jc w:val="both"/>
        <w:rPr>
          <w:rFonts w:ascii="Times New Roman" w:hAnsi="Times New Roman" w:cs="Times New Roman"/>
          <w:sz w:val="36"/>
          <w:szCs w:val="36"/>
        </w:rPr>
      </w:pPr>
      <w:r w:rsidRPr="00E32A9B">
        <w:rPr>
          <w:rFonts w:ascii="Times New Roman" w:hAnsi="Times New Roman" w:cs="Times New Roman"/>
          <w:sz w:val="36"/>
          <w:szCs w:val="36"/>
        </w:rPr>
        <w:t>19 апреля 202</w:t>
      </w:r>
      <w:r w:rsidR="00A24716">
        <w:rPr>
          <w:rFonts w:ascii="Times New Roman" w:hAnsi="Times New Roman" w:cs="Times New Roman"/>
          <w:sz w:val="36"/>
          <w:szCs w:val="36"/>
        </w:rPr>
        <w:t>4</w:t>
      </w:r>
      <w:r w:rsidRPr="00E32A9B">
        <w:rPr>
          <w:rFonts w:ascii="Times New Roman" w:hAnsi="Times New Roman" w:cs="Times New Roman"/>
          <w:sz w:val="36"/>
          <w:szCs w:val="36"/>
        </w:rPr>
        <w:t xml:space="preserve"> года Управление приняло участие в </w:t>
      </w:r>
      <w:r w:rsidR="00A24716">
        <w:rPr>
          <w:rFonts w:ascii="Times New Roman" w:hAnsi="Times New Roman" w:cs="Times New Roman"/>
          <w:sz w:val="36"/>
          <w:szCs w:val="36"/>
        </w:rPr>
        <w:t xml:space="preserve">мобилизационной </w:t>
      </w:r>
      <w:r w:rsidRPr="00E32A9B">
        <w:rPr>
          <w:rFonts w:ascii="Times New Roman" w:hAnsi="Times New Roman" w:cs="Times New Roman"/>
          <w:sz w:val="36"/>
          <w:szCs w:val="36"/>
        </w:rPr>
        <w:t>тренировке под руководством руководителя Федеральной налоговой службы.</w:t>
      </w:r>
    </w:p>
    <w:p w:rsidR="00E32A9B" w:rsidRPr="00E32A9B" w:rsidRDefault="00E32A9B" w:rsidP="00E32A9B">
      <w:pPr>
        <w:spacing w:after="0" w:line="240" w:lineRule="auto"/>
        <w:ind w:left="-567" w:firstLine="709"/>
        <w:jc w:val="both"/>
        <w:rPr>
          <w:rFonts w:ascii="Times New Roman" w:hAnsi="Times New Roman" w:cs="Times New Roman"/>
          <w:sz w:val="36"/>
          <w:szCs w:val="36"/>
        </w:rPr>
      </w:pPr>
      <w:r w:rsidRPr="00E32A9B">
        <w:rPr>
          <w:rFonts w:ascii="Times New Roman" w:hAnsi="Times New Roman" w:cs="Times New Roman"/>
          <w:sz w:val="36"/>
          <w:szCs w:val="36"/>
        </w:rPr>
        <w:t>Цели, поставленные при проведении тренировк</w:t>
      </w:r>
      <w:r w:rsidR="00A24716">
        <w:rPr>
          <w:rFonts w:ascii="Times New Roman" w:hAnsi="Times New Roman" w:cs="Times New Roman"/>
          <w:sz w:val="36"/>
          <w:szCs w:val="36"/>
        </w:rPr>
        <w:t>и</w:t>
      </w:r>
      <w:r w:rsidRPr="00E32A9B">
        <w:rPr>
          <w:rFonts w:ascii="Times New Roman" w:hAnsi="Times New Roman" w:cs="Times New Roman"/>
          <w:sz w:val="36"/>
          <w:szCs w:val="36"/>
        </w:rPr>
        <w:t>, достигнуты, обучаемые показали хорошую подготовку и готовность к действиям по предназначению.</w:t>
      </w:r>
    </w:p>
    <w:p w:rsidR="00E32A9B" w:rsidRPr="00E32A9B" w:rsidRDefault="00E32A9B" w:rsidP="00E32A9B">
      <w:pPr>
        <w:tabs>
          <w:tab w:val="left" w:pos="707"/>
        </w:tabs>
        <w:spacing w:after="0" w:line="240" w:lineRule="auto"/>
        <w:ind w:left="-567" w:firstLine="709"/>
        <w:jc w:val="both"/>
        <w:rPr>
          <w:rFonts w:ascii="Times New Roman" w:hAnsi="Times New Roman" w:cs="Times New Roman"/>
          <w:sz w:val="36"/>
          <w:szCs w:val="36"/>
        </w:rPr>
      </w:pPr>
      <w:r w:rsidRPr="00E32A9B">
        <w:rPr>
          <w:rFonts w:ascii="Times New Roman" w:hAnsi="Times New Roman" w:cs="Times New Roman"/>
          <w:sz w:val="36"/>
          <w:szCs w:val="36"/>
        </w:rPr>
        <w:t xml:space="preserve">Продолжалась работа по принятию эффективных мер в области обеспечения пожарной безопасности и обеспечения </w:t>
      </w:r>
      <w:r w:rsidRPr="00E32A9B">
        <w:rPr>
          <w:rFonts w:ascii="Times New Roman" w:hAnsi="Times New Roman" w:cs="Times New Roman"/>
          <w:sz w:val="36"/>
          <w:szCs w:val="36"/>
        </w:rPr>
        <w:lastRenderedPageBreak/>
        <w:t xml:space="preserve">объектов налоговых органов первичными средствами пожаротушения. </w:t>
      </w:r>
    </w:p>
    <w:p w:rsidR="00E32A9B" w:rsidRPr="00E32A9B" w:rsidRDefault="00E32A9B" w:rsidP="00E32A9B">
      <w:pPr>
        <w:pStyle w:val="ConsPlusNormal"/>
        <w:ind w:left="-567" w:firstLine="709"/>
        <w:jc w:val="both"/>
        <w:rPr>
          <w:rFonts w:ascii="Times New Roman" w:eastAsiaTheme="minorHAnsi" w:hAnsi="Times New Roman" w:cs="Times New Roman"/>
          <w:sz w:val="36"/>
          <w:szCs w:val="36"/>
          <w:lang w:eastAsia="en-US"/>
        </w:rPr>
      </w:pPr>
      <w:r w:rsidRPr="00E32A9B">
        <w:rPr>
          <w:rFonts w:ascii="Times New Roman" w:eastAsiaTheme="minorHAnsi" w:hAnsi="Times New Roman" w:cs="Times New Roman"/>
          <w:sz w:val="36"/>
          <w:szCs w:val="36"/>
          <w:lang w:eastAsia="en-US"/>
        </w:rPr>
        <w:t>По своему состоянию система управления гражданской обороны УФНС России по Курской области готова к организованному выполнению необходимых мероприятий гражданской обороны, своевременному оповещению и дальнейшему руководству действиями всего личного состава, работников Управления в условиях военного времени и чрезвычайных ситуаций.</w:t>
      </w:r>
    </w:p>
    <w:p w:rsidR="00E32A9B" w:rsidRPr="00F33A01" w:rsidRDefault="00E32A9B" w:rsidP="00E32A9B">
      <w:pPr>
        <w:spacing w:line="240" w:lineRule="auto"/>
        <w:ind w:left="-567" w:firstLine="708"/>
        <w:jc w:val="both"/>
        <w:rPr>
          <w:rFonts w:ascii="Times New Roman" w:hAnsi="Times New Roman" w:cs="Times New Roman"/>
          <w:sz w:val="36"/>
          <w:szCs w:val="36"/>
        </w:rPr>
      </w:pPr>
    </w:p>
    <w:p w:rsidR="00F33A01" w:rsidRPr="00F33A01" w:rsidRDefault="00F33A01" w:rsidP="00E32A9B">
      <w:pPr>
        <w:spacing w:line="240" w:lineRule="auto"/>
        <w:ind w:firstLine="708"/>
        <w:jc w:val="both"/>
        <w:rPr>
          <w:rFonts w:ascii="Times New Roman" w:hAnsi="Times New Roman" w:cs="Times New Roman"/>
          <w:sz w:val="36"/>
          <w:szCs w:val="36"/>
        </w:rPr>
      </w:pPr>
    </w:p>
    <w:sectPr w:rsidR="00F33A01" w:rsidRPr="00F33A01" w:rsidSect="005722EA">
      <w:headerReference w:type="default" r:id="rId7"/>
      <w:pgSz w:w="11906" w:h="16838"/>
      <w:pgMar w:top="156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E0" w:rsidRDefault="005B3BE0" w:rsidP="005B3BE0">
      <w:pPr>
        <w:spacing w:after="0" w:line="240" w:lineRule="auto"/>
      </w:pPr>
      <w:r>
        <w:separator/>
      </w:r>
    </w:p>
  </w:endnote>
  <w:endnote w:type="continuationSeparator" w:id="0">
    <w:p w:rsidR="005B3BE0" w:rsidRDefault="005B3BE0" w:rsidP="005B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E0" w:rsidRDefault="005B3BE0" w:rsidP="005B3BE0">
      <w:pPr>
        <w:spacing w:after="0" w:line="240" w:lineRule="auto"/>
      </w:pPr>
      <w:r>
        <w:separator/>
      </w:r>
    </w:p>
  </w:footnote>
  <w:footnote w:type="continuationSeparator" w:id="0">
    <w:p w:rsidR="005B3BE0" w:rsidRDefault="005B3BE0" w:rsidP="005B3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56221"/>
      <w:docPartObj>
        <w:docPartGallery w:val="Page Numbers (Top of Page)"/>
        <w:docPartUnique/>
      </w:docPartObj>
    </w:sdtPr>
    <w:sdtContent>
      <w:p w:rsidR="005722EA" w:rsidRDefault="005722EA">
        <w:pPr>
          <w:pStyle w:val="a4"/>
          <w:jc w:val="center"/>
        </w:pPr>
        <w:r>
          <w:fldChar w:fldCharType="begin"/>
        </w:r>
        <w:r>
          <w:instrText>PAGE   \* MERGEFORMAT</w:instrText>
        </w:r>
        <w:r>
          <w:fldChar w:fldCharType="separate"/>
        </w:r>
        <w:r>
          <w:rPr>
            <w:noProof/>
          </w:rPr>
          <w:t>5</w:t>
        </w:r>
        <w:r>
          <w:fldChar w:fldCharType="end"/>
        </w:r>
      </w:p>
    </w:sdtContent>
  </w:sdt>
  <w:p w:rsidR="005722EA" w:rsidRDefault="005722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1A"/>
    <w:rsid w:val="00126CD5"/>
    <w:rsid w:val="002B0ABB"/>
    <w:rsid w:val="00302786"/>
    <w:rsid w:val="0030769F"/>
    <w:rsid w:val="003414C3"/>
    <w:rsid w:val="003B3963"/>
    <w:rsid w:val="003E1005"/>
    <w:rsid w:val="003E3D3E"/>
    <w:rsid w:val="004A3D6E"/>
    <w:rsid w:val="00510397"/>
    <w:rsid w:val="005421E8"/>
    <w:rsid w:val="00550A02"/>
    <w:rsid w:val="005722EA"/>
    <w:rsid w:val="005B3BE0"/>
    <w:rsid w:val="005F7221"/>
    <w:rsid w:val="006306A3"/>
    <w:rsid w:val="006479BF"/>
    <w:rsid w:val="006524D1"/>
    <w:rsid w:val="006713F9"/>
    <w:rsid w:val="006A4230"/>
    <w:rsid w:val="00746AC1"/>
    <w:rsid w:val="007E2968"/>
    <w:rsid w:val="007F50F3"/>
    <w:rsid w:val="0085619D"/>
    <w:rsid w:val="00865A74"/>
    <w:rsid w:val="008B3655"/>
    <w:rsid w:val="00965A52"/>
    <w:rsid w:val="00972FF1"/>
    <w:rsid w:val="009C6D80"/>
    <w:rsid w:val="00A144E6"/>
    <w:rsid w:val="00A1624F"/>
    <w:rsid w:val="00A24716"/>
    <w:rsid w:val="00A8723C"/>
    <w:rsid w:val="00AA65D6"/>
    <w:rsid w:val="00AD4D1A"/>
    <w:rsid w:val="00B50F9E"/>
    <w:rsid w:val="00BF3224"/>
    <w:rsid w:val="00C46C5E"/>
    <w:rsid w:val="00CD6C4A"/>
    <w:rsid w:val="00CF57B6"/>
    <w:rsid w:val="00D6546D"/>
    <w:rsid w:val="00DB52D4"/>
    <w:rsid w:val="00E3098D"/>
    <w:rsid w:val="00E32A9B"/>
    <w:rsid w:val="00E95D80"/>
    <w:rsid w:val="00EB22BA"/>
    <w:rsid w:val="00F33A01"/>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3B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3BE0"/>
  </w:style>
  <w:style w:type="paragraph" w:styleId="a6">
    <w:name w:val="footer"/>
    <w:basedOn w:val="a"/>
    <w:link w:val="a7"/>
    <w:uiPriority w:val="99"/>
    <w:unhideWhenUsed/>
    <w:rsid w:val="005B3B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3BE0"/>
  </w:style>
  <w:style w:type="paragraph" w:customStyle="1" w:styleId="a8">
    <w:name w:val="Знак Знак Знак"/>
    <w:basedOn w:val="a"/>
    <w:autoRedefine/>
    <w:rsid w:val="003B3963"/>
    <w:pPr>
      <w:spacing w:after="160" w:line="240" w:lineRule="exact"/>
    </w:pPr>
    <w:rPr>
      <w:rFonts w:ascii="Times New Roman" w:eastAsia="Times New Roman" w:hAnsi="Times New Roman" w:cs="Times New Roman"/>
      <w:sz w:val="28"/>
      <w:szCs w:val="20"/>
      <w:lang w:val="en-US"/>
    </w:rPr>
  </w:style>
  <w:style w:type="paragraph" w:customStyle="1" w:styleId="ConsPlusNormal">
    <w:name w:val="ConsPlusNormal"/>
    <w:rsid w:val="00F33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33A01"/>
    <w:pPr>
      <w:autoSpaceDE w:val="0"/>
      <w:autoSpaceDN w:val="0"/>
      <w:adjustRightInd w:val="0"/>
      <w:spacing w:before="200" w:after="0" w:line="240" w:lineRule="auto"/>
    </w:pPr>
    <w:rPr>
      <w:rFonts w:ascii="Courier New" w:eastAsia="Times New Roman" w:hAnsi="Courier New" w:cs="Courier New"/>
      <w:sz w:val="20"/>
      <w:szCs w:val="20"/>
      <w:lang w:val="en-US" w:eastAsia="ru-RU"/>
    </w:rPr>
  </w:style>
  <w:style w:type="character" w:customStyle="1" w:styleId="FontStyle21">
    <w:name w:val="Font Style21"/>
    <w:rsid w:val="00E32A9B"/>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3B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3BE0"/>
  </w:style>
  <w:style w:type="paragraph" w:styleId="a6">
    <w:name w:val="footer"/>
    <w:basedOn w:val="a"/>
    <w:link w:val="a7"/>
    <w:uiPriority w:val="99"/>
    <w:unhideWhenUsed/>
    <w:rsid w:val="005B3B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3BE0"/>
  </w:style>
  <w:style w:type="paragraph" w:customStyle="1" w:styleId="a8">
    <w:name w:val="Знак Знак Знак"/>
    <w:basedOn w:val="a"/>
    <w:autoRedefine/>
    <w:rsid w:val="003B3963"/>
    <w:pPr>
      <w:spacing w:after="160" w:line="240" w:lineRule="exact"/>
    </w:pPr>
    <w:rPr>
      <w:rFonts w:ascii="Times New Roman" w:eastAsia="Times New Roman" w:hAnsi="Times New Roman" w:cs="Times New Roman"/>
      <w:sz w:val="28"/>
      <w:szCs w:val="20"/>
      <w:lang w:val="en-US"/>
    </w:rPr>
  </w:style>
  <w:style w:type="paragraph" w:customStyle="1" w:styleId="ConsPlusNormal">
    <w:name w:val="ConsPlusNormal"/>
    <w:rsid w:val="00F33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33A01"/>
    <w:pPr>
      <w:autoSpaceDE w:val="0"/>
      <w:autoSpaceDN w:val="0"/>
      <w:adjustRightInd w:val="0"/>
      <w:spacing w:before="200" w:after="0" w:line="240" w:lineRule="auto"/>
    </w:pPr>
    <w:rPr>
      <w:rFonts w:ascii="Courier New" w:eastAsia="Times New Roman" w:hAnsi="Courier New" w:cs="Courier New"/>
      <w:sz w:val="20"/>
      <w:szCs w:val="20"/>
      <w:lang w:val="en-US" w:eastAsia="ru-RU"/>
    </w:rPr>
  </w:style>
  <w:style w:type="character" w:customStyle="1" w:styleId="FontStyle21">
    <w:name w:val="Font Style21"/>
    <w:rsid w:val="00E32A9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6564">
      <w:bodyDiv w:val="1"/>
      <w:marLeft w:val="0"/>
      <w:marRight w:val="0"/>
      <w:marTop w:val="0"/>
      <w:marBottom w:val="0"/>
      <w:divBdr>
        <w:top w:val="none" w:sz="0" w:space="0" w:color="auto"/>
        <w:left w:val="none" w:sz="0" w:space="0" w:color="auto"/>
        <w:bottom w:val="none" w:sz="0" w:space="0" w:color="auto"/>
        <w:right w:val="none" w:sz="0" w:space="0" w:color="auto"/>
      </w:divBdr>
    </w:div>
    <w:div w:id="18270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5</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Чуприн Антон Александрович</dc:creator>
  <cp:lastModifiedBy>Меньшаков Николай Анатольевич</cp:lastModifiedBy>
  <cp:revision>26</cp:revision>
  <cp:lastPrinted>2021-09-20T12:24:00Z</cp:lastPrinted>
  <dcterms:created xsi:type="dcterms:W3CDTF">2016-12-14T07:40:00Z</dcterms:created>
  <dcterms:modified xsi:type="dcterms:W3CDTF">2024-07-08T08:58:00Z</dcterms:modified>
</cp:coreProperties>
</file>